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7BC" w:rsidRPr="00FF3E55" w:rsidRDefault="008D37BC" w:rsidP="008D37BC">
      <w:pPr>
        <w:shd w:val="clear" w:color="auto" w:fill="FFFFFF"/>
        <w:spacing w:line="255" w:lineRule="atLeast"/>
        <w:textAlignment w:val="center"/>
        <w:outlineLvl w:val="2"/>
        <w:rPr>
          <w:rFonts w:ascii="Arial" w:eastAsia="Times New Roman" w:hAnsi="Arial" w:cs="Arial"/>
          <w:b/>
          <w:bCs/>
          <w:color w:val="0B4DA1"/>
          <w:sz w:val="23"/>
          <w:szCs w:val="23"/>
          <w:lang w:eastAsia="sk-SK"/>
        </w:rPr>
      </w:pPr>
      <w:r w:rsidRPr="00FF3E55">
        <w:rPr>
          <w:rFonts w:ascii="Arial" w:eastAsia="Times New Roman" w:hAnsi="Arial" w:cs="Arial"/>
          <w:b/>
          <w:bCs/>
          <w:color w:val="0B4DA1"/>
          <w:lang w:eastAsia="sk-SK"/>
        </w:rPr>
        <w:t xml:space="preserve">Ex-post CBA </w:t>
      </w:r>
      <w:r w:rsidR="0098666A" w:rsidRPr="00FF3E55">
        <w:rPr>
          <w:rFonts w:ascii="Arial" w:eastAsia="Times New Roman" w:hAnsi="Arial" w:cs="Arial"/>
          <w:b/>
          <w:bCs/>
          <w:color w:val="0B4DA1"/>
          <w:lang w:eastAsia="sk-SK"/>
        </w:rPr>
        <w:t>R4 Svidník - preložka</w:t>
      </w:r>
      <w:r w:rsidRPr="00FF3E55">
        <w:rPr>
          <w:rFonts w:ascii="Arial" w:eastAsia="Times New Roman" w:hAnsi="Arial" w:cs="Arial"/>
          <w:b/>
          <w:bCs/>
          <w:color w:val="0B4DA1"/>
          <w:lang w:eastAsia="sk-SK"/>
        </w:rPr>
        <w:br/>
      </w:r>
    </w:p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 </w:t>
      </w:r>
    </w:p>
    <w:p w:rsidR="008D37BC" w:rsidRPr="00FF3E55" w:rsidRDefault="008D37BC" w:rsidP="008D37BC">
      <w:pPr>
        <w:shd w:val="clear" w:color="auto" w:fill="FFFFFF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Zmluva o poskytnutí nenávratného finančného príspevku (NFP) pre projekt výstavby rýchlostnej cesty „</w:t>
      </w:r>
      <w:r w:rsidR="0098666A" w:rsidRPr="00FF3E55">
        <w:rPr>
          <w:rFonts w:ascii="Arial" w:eastAsia="Times New Roman" w:hAnsi="Arial" w:cs="Arial"/>
          <w:color w:val="525252"/>
          <w:lang w:eastAsia="sk-SK"/>
        </w:rPr>
        <w:t>R4 Svidník - preložka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“ bola uzatvorená dňa </w:t>
      </w:r>
      <w:r w:rsidR="00FF3E55" w:rsidRPr="00FF3E55">
        <w:rPr>
          <w:rFonts w:ascii="Arial" w:eastAsia="Times New Roman" w:hAnsi="Arial" w:cs="Arial"/>
          <w:color w:val="525252"/>
          <w:lang w:eastAsia="sk-SK"/>
        </w:rPr>
        <w:t>25</w:t>
      </w:r>
      <w:r w:rsidRPr="00FF3E55">
        <w:rPr>
          <w:rFonts w:ascii="Arial" w:eastAsia="Times New Roman" w:hAnsi="Arial" w:cs="Arial"/>
          <w:color w:val="525252"/>
          <w:lang w:eastAsia="sk-SK"/>
        </w:rPr>
        <w:t>. 06. 20</w:t>
      </w:r>
      <w:r w:rsidR="00FF3E55" w:rsidRPr="00FF3E55">
        <w:rPr>
          <w:rFonts w:ascii="Arial" w:eastAsia="Times New Roman" w:hAnsi="Arial" w:cs="Arial"/>
          <w:color w:val="525252"/>
          <w:lang w:eastAsia="sk-SK"/>
        </w:rPr>
        <w:t>07</w:t>
      </w:r>
      <w:r w:rsidRPr="00FF3E55">
        <w:rPr>
          <w:rFonts w:ascii="Arial" w:eastAsia="Times New Roman" w:hAnsi="Arial" w:cs="Arial"/>
          <w:color w:val="525252"/>
          <w:lang w:eastAsia="sk-SK"/>
        </w:rPr>
        <w:t>. Išlo o finančný príspevok na výstavbu 4,</w:t>
      </w:r>
      <w:r w:rsidR="00AD0CF6" w:rsidRPr="00FF3E55">
        <w:rPr>
          <w:rFonts w:ascii="Arial" w:eastAsia="Times New Roman" w:hAnsi="Arial" w:cs="Arial"/>
          <w:color w:val="525252"/>
          <w:lang w:eastAsia="sk-SK"/>
        </w:rPr>
        <w:t>573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 km úseku rýchlostnej cesty </w:t>
      </w:r>
      <w:r w:rsidR="0098666A" w:rsidRPr="00FF3E55">
        <w:rPr>
          <w:rFonts w:ascii="Arial" w:eastAsia="Times New Roman" w:hAnsi="Arial" w:cs="Arial"/>
          <w:color w:val="525252"/>
          <w:lang w:eastAsia="sk-SK"/>
        </w:rPr>
        <w:t>R4 Svidník - preložka</w:t>
      </w:r>
      <w:r w:rsidRPr="00FF3E55">
        <w:rPr>
          <w:rFonts w:ascii="Arial" w:eastAsia="Times New Roman" w:hAnsi="Arial" w:cs="Arial"/>
          <w:color w:val="525252"/>
          <w:lang w:eastAsia="sk-SK"/>
        </w:rPr>
        <w:t>.  Prijímateľovi (Národná diaľničná spoločnosť, a. s.,) bol poskytnutý finančný príspevok vo výške</w:t>
      </w:r>
      <w:r w:rsidR="000E04DC">
        <w:rPr>
          <w:rFonts w:ascii="Arial" w:eastAsia="Times New Roman" w:hAnsi="Arial" w:cs="Arial"/>
          <w:color w:val="525252"/>
          <w:lang w:eastAsia="sk-SK"/>
        </w:rPr>
        <w:t xml:space="preserve"> </w:t>
      </w:r>
      <w:r w:rsidR="000E04DC" w:rsidRPr="000E04DC">
        <w:rPr>
          <w:rFonts w:ascii="Arial" w:eastAsia="Times New Roman" w:hAnsi="Arial" w:cs="Arial"/>
          <w:b/>
          <w:color w:val="525252"/>
          <w:lang w:eastAsia="sk-SK"/>
        </w:rPr>
        <w:t>464 023 902</w:t>
      </w:r>
      <w:r w:rsidRPr="00FF3E55">
        <w:rPr>
          <w:rFonts w:ascii="Arial" w:eastAsia="Times New Roman" w:hAnsi="Arial" w:cs="Arial"/>
          <w:color w:val="525252"/>
          <w:lang w:eastAsia="sk-SK"/>
        </w:rPr>
        <w:t> </w:t>
      </w:r>
      <w:r w:rsidR="000E04DC" w:rsidRPr="000E04DC">
        <w:rPr>
          <w:rFonts w:ascii="Arial" w:eastAsia="Times New Roman" w:hAnsi="Arial" w:cs="Arial"/>
          <w:b/>
          <w:color w:val="525252"/>
          <w:lang w:eastAsia="sk-SK"/>
        </w:rPr>
        <w:t>SKK</w:t>
      </w:r>
      <w:r w:rsidR="000E04DC">
        <w:rPr>
          <w:rFonts w:ascii="Arial" w:eastAsia="Times New Roman" w:hAnsi="Arial" w:cs="Arial"/>
          <w:color w:val="525252"/>
          <w:lang w:eastAsia="sk-SK"/>
        </w:rPr>
        <w:t xml:space="preserve">, t.j. </w:t>
      </w:r>
      <w:r w:rsidR="00FF3E55" w:rsidRPr="00FF3E55">
        <w:rPr>
          <w:rFonts w:ascii="Arial" w:eastAsia="Times New Roman" w:hAnsi="Arial" w:cs="Arial"/>
          <w:b/>
          <w:color w:val="525252"/>
          <w:lang w:eastAsia="sk-SK"/>
        </w:rPr>
        <w:t>15 402 77</w:t>
      </w:r>
      <w:r w:rsidR="006C59D3">
        <w:rPr>
          <w:rFonts w:ascii="Arial" w:eastAsia="Times New Roman" w:hAnsi="Arial" w:cs="Arial"/>
          <w:b/>
          <w:color w:val="525252"/>
          <w:lang w:eastAsia="sk-SK"/>
        </w:rPr>
        <w:t>2</w:t>
      </w:r>
      <w:bookmarkStart w:id="0" w:name="_GoBack"/>
      <w:bookmarkEnd w:id="0"/>
      <w:r w:rsidR="00FF3E55" w:rsidRPr="00FF3E55">
        <w:rPr>
          <w:rFonts w:ascii="Arial" w:eastAsia="Times New Roman" w:hAnsi="Arial" w:cs="Arial"/>
          <w:b/>
          <w:color w:val="525252"/>
          <w:lang w:eastAsia="sk-SK"/>
        </w:rPr>
        <w:t xml:space="preserve"> </w:t>
      </w: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>eur</w:t>
      </w:r>
      <w:r w:rsidRPr="00FF3E55">
        <w:rPr>
          <w:rFonts w:ascii="Arial" w:eastAsia="Times New Roman" w:hAnsi="Arial" w:cs="Arial"/>
          <w:color w:val="525252"/>
          <w:lang w:eastAsia="sk-SK"/>
        </w:rPr>
        <w:t>, ktorý sa skladal z príspevku z Európskeho fondu regionálneho rozvoja (85 % z celkovej sumy) vo výške </w:t>
      </w:r>
      <w:r w:rsidR="00FF3E55" w:rsidRPr="00FF3E55">
        <w:rPr>
          <w:rFonts w:ascii="Arial" w:eastAsia="Times New Roman" w:hAnsi="Arial" w:cs="Arial"/>
          <w:b/>
          <w:bCs/>
          <w:color w:val="525252"/>
          <w:lang w:eastAsia="sk-SK"/>
        </w:rPr>
        <w:t>13 092 356</w:t>
      </w:r>
      <w:r w:rsidR="00FF3E55" w:rsidRPr="00FF3E55">
        <w:rPr>
          <w:rFonts w:ascii="Arial" w:eastAsia="Times New Roman" w:hAnsi="Arial" w:cs="Arial"/>
          <w:color w:val="525252"/>
          <w:lang w:val="en-US" w:eastAsia="sk-SK"/>
        </w:rPr>
        <w:t xml:space="preserve"> </w:t>
      </w: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>eur </w:t>
      </w:r>
      <w:r w:rsidRPr="00FF3E55">
        <w:rPr>
          <w:rFonts w:ascii="Arial" w:eastAsia="Times New Roman" w:hAnsi="Arial" w:cs="Arial"/>
          <w:color w:val="525252"/>
          <w:lang w:eastAsia="sk-SK"/>
        </w:rPr>
        <w:t>a z príspevku zo štátneho rozpočtu (15 % z celkovej sumy) vo výške </w:t>
      </w:r>
      <w:r w:rsidR="00FF3E55" w:rsidRPr="00FF3E55">
        <w:rPr>
          <w:rFonts w:ascii="Arial" w:eastAsia="Times New Roman" w:hAnsi="Arial" w:cs="Arial"/>
          <w:b/>
          <w:bCs/>
          <w:color w:val="525252"/>
          <w:lang w:eastAsia="sk-SK"/>
        </w:rPr>
        <w:t xml:space="preserve">2 310 416 </w:t>
      </w: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>eur</w:t>
      </w:r>
      <w:r w:rsidRPr="00FF3E55">
        <w:rPr>
          <w:rFonts w:ascii="Arial" w:eastAsia="Times New Roman" w:hAnsi="Arial" w:cs="Arial"/>
          <w:color w:val="525252"/>
          <w:lang w:eastAsia="sk-SK"/>
        </w:rPr>
        <w:t>. Príspevok bol stanovený na základe výsledku finančnej analýzy v rámci analýzy nákladov a prínosov (CBA) projektu, keď finančná medzera predstavovala </w:t>
      </w:r>
      <w:r w:rsidR="00AD0CF6" w:rsidRPr="00FF3E55">
        <w:rPr>
          <w:rFonts w:ascii="Arial" w:eastAsia="Times New Roman" w:hAnsi="Arial" w:cs="Arial"/>
          <w:b/>
          <w:bCs/>
          <w:color w:val="525252"/>
          <w:lang w:eastAsia="sk-SK"/>
        </w:rPr>
        <w:t>88</w:t>
      </w: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>,</w:t>
      </w:r>
      <w:r w:rsidR="00AD0CF6" w:rsidRPr="00FF3E55">
        <w:rPr>
          <w:rFonts w:ascii="Arial" w:eastAsia="Times New Roman" w:hAnsi="Arial" w:cs="Arial"/>
          <w:b/>
          <w:bCs/>
          <w:color w:val="525252"/>
          <w:lang w:eastAsia="sk-SK"/>
        </w:rPr>
        <w:t>12</w:t>
      </w: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 xml:space="preserve"> % (</w:t>
      </w:r>
      <w:proofErr w:type="spellStart"/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>t.j</w:t>
      </w:r>
      <w:proofErr w:type="spellEnd"/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 xml:space="preserve">. </w:t>
      </w:r>
      <w:r w:rsidR="00AD0CF6" w:rsidRPr="00FF3E55">
        <w:rPr>
          <w:rFonts w:ascii="Arial" w:eastAsia="Times New Roman" w:hAnsi="Arial" w:cs="Arial"/>
          <w:b/>
          <w:bCs/>
          <w:color w:val="525252"/>
          <w:lang w:eastAsia="sk-SK"/>
        </w:rPr>
        <w:t>88</w:t>
      </w: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>,</w:t>
      </w:r>
      <w:r w:rsidR="00AD0CF6" w:rsidRPr="00FF3E55">
        <w:rPr>
          <w:rFonts w:ascii="Arial" w:eastAsia="Times New Roman" w:hAnsi="Arial" w:cs="Arial"/>
          <w:b/>
          <w:bCs/>
          <w:color w:val="525252"/>
          <w:lang w:eastAsia="sk-SK"/>
        </w:rPr>
        <w:t>12</w:t>
      </w: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 xml:space="preserve"> % z celkových oprávnených výdavkov projektu bolo poskytnutých zo zdrojov Operačného programu </w:t>
      </w:r>
      <w:r w:rsidR="00AD0CF6" w:rsidRPr="00FF3E55">
        <w:rPr>
          <w:rFonts w:ascii="Arial" w:eastAsia="Times New Roman" w:hAnsi="Arial" w:cs="Arial"/>
          <w:b/>
          <w:bCs/>
          <w:color w:val="525252"/>
          <w:lang w:eastAsia="sk-SK"/>
        </w:rPr>
        <w:t>Základná infraštruktúra</w:t>
      </w: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 xml:space="preserve"> 200</w:t>
      </w:r>
      <w:r w:rsidR="00AD0CF6" w:rsidRPr="00FF3E55">
        <w:rPr>
          <w:rFonts w:ascii="Arial" w:eastAsia="Times New Roman" w:hAnsi="Arial" w:cs="Arial"/>
          <w:b/>
          <w:bCs/>
          <w:color w:val="525252"/>
          <w:lang w:eastAsia="sk-SK"/>
        </w:rPr>
        <w:t>4</w:t>
      </w: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 xml:space="preserve"> – 20</w:t>
      </w:r>
      <w:r w:rsidR="00AD0CF6" w:rsidRPr="00FF3E55">
        <w:rPr>
          <w:rFonts w:ascii="Arial" w:eastAsia="Times New Roman" w:hAnsi="Arial" w:cs="Arial"/>
          <w:b/>
          <w:bCs/>
          <w:color w:val="525252"/>
          <w:lang w:eastAsia="sk-SK"/>
        </w:rPr>
        <w:t>06</w:t>
      </w: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>)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. Rýchlostná cesta </w:t>
      </w:r>
      <w:r w:rsidR="0098666A" w:rsidRPr="00FF3E55">
        <w:rPr>
          <w:rFonts w:ascii="Arial" w:eastAsia="Times New Roman" w:hAnsi="Arial" w:cs="Arial"/>
          <w:color w:val="525252"/>
          <w:lang w:eastAsia="sk-SK"/>
        </w:rPr>
        <w:t>R4 Svidník - preložka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 je v užívaní od </w:t>
      </w:r>
      <w:r w:rsidR="00AD0CF6" w:rsidRPr="00FF3E55">
        <w:rPr>
          <w:rFonts w:ascii="Arial" w:eastAsia="Times New Roman" w:hAnsi="Arial" w:cs="Arial"/>
          <w:color w:val="525252"/>
          <w:lang w:eastAsia="sk-SK"/>
        </w:rPr>
        <w:t>20. decembra 2</w:t>
      </w:r>
      <w:r w:rsidRPr="00FF3E55">
        <w:rPr>
          <w:rFonts w:ascii="Arial" w:eastAsia="Times New Roman" w:hAnsi="Arial" w:cs="Arial"/>
          <w:color w:val="525252"/>
          <w:lang w:eastAsia="sk-SK"/>
        </w:rPr>
        <w:t>01</w:t>
      </w:r>
      <w:r w:rsidR="00AD0CF6" w:rsidRPr="00FF3E55">
        <w:rPr>
          <w:rFonts w:ascii="Arial" w:eastAsia="Times New Roman" w:hAnsi="Arial" w:cs="Arial"/>
          <w:color w:val="525252"/>
          <w:lang w:eastAsia="sk-SK"/>
        </w:rPr>
        <w:t>0</w:t>
      </w:r>
      <w:r w:rsidRPr="00FF3E55">
        <w:rPr>
          <w:rFonts w:ascii="Arial" w:eastAsia="Times New Roman" w:hAnsi="Arial" w:cs="Arial"/>
          <w:color w:val="525252"/>
          <w:lang w:eastAsia="sk-SK"/>
        </w:rPr>
        <w:t>.</w:t>
      </w:r>
    </w:p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MDV SR ako Riadiaci orgán pristúpilo k ex-post prevereniu CBA z dôvodu zvýšenia kvality tvorby nasledujúcich predkladaných CBA cestných projektov, z dôvodu spresnenia dopravného modelovania nasledujúcich projektov ako aj užitočných podkladov ohľadom aktualizácie Metodickej príručky CBA.     </w:t>
      </w:r>
    </w:p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Táto aktivita prispeje k zvýšeniu efektívnosti čerpania finančných prostriedkov z verejných zdrojov a z fondov Európskej únie.</w:t>
      </w:r>
    </w:p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Pri spätnom vyhodnotení CBA boli za roky 20</w:t>
      </w:r>
      <w:r w:rsidR="00AD0CF6" w:rsidRPr="00FF3E55">
        <w:rPr>
          <w:rFonts w:ascii="Arial" w:eastAsia="Times New Roman" w:hAnsi="Arial" w:cs="Arial"/>
          <w:color w:val="525252"/>
          <w:lang w:eastAsia="sk-SK"/>
        </w:rPr>
        <w:t>06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 – 2018 podľa skutočného stavu aktualizované nasledovné vstupné údaje:</w:t>
      </w:r>
    </w:p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 </w:t>
      </w:r>
    </w:p>
    <w:p w:rsidR="008D37BC" w:rsidRPr="00FF3E55" w:rsidRDefault="008D37BC" w:rsidP="008D37BC">
      <w:pPr>
        <w:shd w:val="clear" w:color="auto" w:fill="FFFFFF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>HDP – zdroj : Štatistický úrad SR, Ministerstvo financií SR, Metodická príručka CBA OPII</w:t>
      </w:r>
    </w:p>
    <w:p w:rsidR="008D37BC" w:rsidRPr="00FF3E55" w:rsidRDefault="008D37BC" w:rsidP="008D37BC">
      <w:pPr>
        <w:shd w:val="clear" w:color="auto" w:fill="FFFFFF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>Inflácia – zdroj :  Štatistický úrad SR</w:t>
      </w:r>
    </w:p>
    <w:p w:rsidR="008D37BC" w:rsidRPr="00FF3E55" w:rsidRDefault="008D37BC" w:rsidP="008D37BC">
      <w:pPr>
        <w:shd w:val="clear" w:color="auto" w:fill="FFFFFF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>ceny PHM – zdroj :  Štatistický úrad SR</w:t>
      </w:r>
    </w:p>
    <w:p w:rsidR="008D37BC" w:rsidRPr="00FF3E55" w:rsidRDefault="008D37BC" w:rsidP="008D37BC">
      <w:pPr>
        <w:shd w:val="clear" w:color="auto" w:fill="FFFFFF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 xml:space="preserve">Investičné náklady – zdroj : účtovníctvo NDS, </w:t>
      </w:r>
      <w:proofErr w:type="spellStart"/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>a.s</w:t>
      </w:r>
      <w:proofErr w:type="spellEnd"/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>.</w:t>
      </w:r>
    </w:p>
    <w:p w:rsidR="008D37BC" w:rsidRPr="00FF3E55" w:rsidRDefault="008D37BC" w:rsidP="008D37BC">
      <w:pPr>
        <w:shd w:val="clear" w:color="auto" w:fill="FFFFFF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>Intenzita dopravy – zdroj : celoštátne sčítanie dopravy SSC</w:t>
      </w:r>
      <w:r w:rsidR="00AD0CF6" w:rsidRPr="00FF3E55">
        <w:rPr>
          <w:rFonts w:ascii="Arial" w:eastAsia="Times New Roman" w:hAnsi="Arial" w:cs="Arial"/>
          <w:i/>
          <w:iCs/>
          <w:color w:val="525252"/>
          <w:lang w:eastAsia="sk-SK"/>
        </w:rPr>
        <w:t xml:space="preserve"> 2010,</w:t>
      </w:r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 xml:space="preserve"> 2015, automatické </w:t>
      </w:r>
      <w:proofErr w:type="spellStart"/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>sčítače</w:t>
      </w:r>
      <w:proofErr w:type="spellEnd"/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 xml:space="preserve"> dopravy NDS, </w:t>
      </w:r>
      <w:proofErr w:type="spellStart"/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>a.s</w:t>
      </w:r>
      <w:proofErr w:type="spellEnd"/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>. </w:t>
      </w:r>
    </w:p>
    <w:p w:rsidR="008D37BC" w:rsidRPr="00FF3E55" w:rsidRDefault="008D37BC" w:rsidP="008D37BC">
      <w:pPr>
        <w:shd w:val="clear" w:color="auto" w:fill="FFFFFF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 xml:space="preserve">Prevádzkové náklady – zdroj : účtovníctvo NDS, </w:t>
      </w:r>
      <w:proofErr w:type="spellStart"/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>a.s</w:t>
      </w:r>
      <w:proofErr w:type="spellEnd"/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>.</w:t>
      </w:r>
    </w:p>
    <w:p w:rsidR="008D37BC" w:rsidRPr="00FF3E55" w:rsidRDefault="008D37BC" w:rsidP="008D37BC">
      <w:pPr>
        <w:shd w:val="clear" w:color="auto" w:fill="FFFFFF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 xml:space="preserve">Príjmy – zdroj : účtovníctvo, NDS </w:t>
      </w:r>
      <w:proofErr w:type="spellStart"/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>a.s</w:t>
      </w:r>
      <w:proofErr w:type="spellEnd"/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>.</w:t>
      </w:r>
    </w:p>
    <w:p w:rsidR="008D37BC" w:rsidRPr="00FF3E55" w:rsidRDefault="008D37BC" w:rsidP="008D37BC">
      <w:pPr>
        <w:shd w:val="clear" w:color="auto" w:fill="FFFFFF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>Nehodovosť – zdroj : Policajný zbor SR</w:t>
      </w:r>
    </w:p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 </w:t>
      </w:r>
    </w:p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Následne bola prepočítaná CBA celého projektu spolu s predikciou vývoja do roku 203</w:t>
      </w:r>
      <w:r w:rsidR="00AD0CF6" w:rsidRPr="00FF3E55">
        <w:rPr>
          <w:rFonts w:ascii="Arial" w:eastAsia="Times New Roman" w:hAnsi="Arial" w:cs="Arial"/>
          <w:color w:val="525252"/>
          <w:lang w:eastAsia="sk-SK"/>
        </w:rPr>
        <w:t xml:space="preserve">7 </w:t>
      </w:r>
      <w:r w:rsidRPr="00FF3E55">
        <w:rPr>
          <w:rFonts w:ascii="Arial" w:eastAsia="Times New Roman" w:hAnsi="Arial" w:cs="Arial"/>
          <w:color w:val="525252"/>
          <w:lang w:eastAsia="sk-SK"/>
        </w:rPr>
        <w:t>a to aktuálne platnou metodikou pre Operačný program Integrovaná infrašt</w:t>
      </w:r>
      <w:r w:rsidR="000F0153" w:rsidRPr="00FF3E55">
        <w:rPr>
          <w:rFonts w:ascii="Arial" w:eastAsia="Times New Roman" w:hAnsi="Arial" w:cs="Arial"/>
          <w:color w:val="525252"/>
          <w:lang w:eastAsia="sk-SK"/>
        </w:rPr>
        <w:t>r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uktúra (2014 – 2020). Pôvodná CBA bola počítaná metodikou Operačného programu </w:t>
      </w:r>
      <w:r w:rsidR="00AD0CF6" w:rsidRPr="00FF3E55">
        <w:rPr>
          <w:rFonts w:ascii="Arial" w:eastAsia="Times New Roman" w:hAnsi="Arial" w:cs="Arial"/>
          <w:color w:val="525252"/>
          <w:lang w:eastAsia="sk-SK"/>
        </w:rPr>
        <w:t>Základná Infraštruktúra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 (200</w:t>
      </w:r>
      <w:r w:rsidR="00AD0CF6" w:rsidRPr="00FF3E55">
        <w:rPr>
          <w:rFonts w:ascii="Arial" w:eastAsia="Times New Roman" w:hAnsi="Arial" w:cs="Arial"/>
          <w:color w:val="525252"/>
          <w:lang w:eastAsia="sk-SK"/>
        </w:rPr>
        <w:t>4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 – 20</w:t>
      </w:r>
      <w:r w:rsidR="00AD0CF6" w:rsidRPr="00FF3E55">
        <w:rPr>
          <w:rFonts w:ascii="Arial" w:eastAsia="Times New Roman" w:hAnsi="Arial" w:cs="Arial"/>
          <w:color w:val="525252"/>
          <w:lang w:eastAsia="sk-SK"/>
        </w:rPr>
        <w:t>06</w:t>
      </w:r>
      <w:r w:rsidRPr="00FF3E55">
        <w:rPr>
          <w:rFonts w:ascii="Arial" w:eastAsia="Times New Roman" w:hAnsi="Arial" w:cs="Arial"/>
          <w:color w:val="525252"/>
          <w:lang w:eastAsia="sk-SK"/>
        </w:rPr>
        <w:t>).</w:t>
      </w:r>
    </w:p>
    <w:p w:rsidR="008D37BC" w:rsidRPr="00FF3E55" w:rsidRDefault="008D37BC" w:rsidP="008D37BC">
      <w:pPr>
        <w:shd w:val="clear" w:color="auto" w:fill="FFFFFF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 </w:t>
      </w:r>
      <w:r w:rsidRPr="00FF3E55">
        <w:rPr>
          <w:rFonts w:ascii="Arial" w:eastAsia="Times New Roman" w:hAnsi="Arial" w:cs="Arial"/>
          <w:i/>
          <w:iCs/>
          <w:color w:val="525252"/>
          <w:lang w:eastAsia="sk-SK"/>
        </w:rPr>
        <w:t> </w:t>
      </w:r>
    </w:p>
    <w:p w:rsidR="008D37BC" w:rsidRPr="00FF3E55" w:rsidRDefault="008D37BC" w:rsidP="008D37BC">
      <w:pPr>
        <w:shd w:val="clear" w:color="auto" w:fill="FFFFFF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>Vyhodnotenie finančnej analýzy</w:t>
      </w:r>
    </w:p>
    <w:p w:rsidR="008D37BC" w:rsidRPr="00FF3E55" w:rsidRDefault="008D37BC" w:rsidP="008D37BC">
      <w:pPr>
        <w:shd w:val="clear" w:color="auto" w:fill="FFFFFF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Finančná medzera sa z</w:t>
      </w:r>
      <w:r w:rsidR="00C16696" w:rsidRPr="00FF3E55">
        <w:rPr>
          <w:rFonts w:ascii="Arial" w:eastAsia="Times New Roman" w:hAnsi="Arial" w:cs="Arial"/>
          <w:color w:val="525252"/>
          <w:lang w:eastAsia="sk-SK"/>
        </w:rPr>
        <w:t>nížila z </w:t>
      </w:r>
      <w:r w:rsidR="00C16696" w:rsidRPr="00FF3E55">
        <w:rPr>
          <w:rFonts w:ascii="Arial" w:eastAsia="Times New Roman" w:hAnsi="Arial" w:cs="Arial"/>
          <w:b/>
          <w:bCs/>
          <w:color w:val="525252"/>
          <w:lang w:eastAsia="sk-SK"/>
        </w:rPr>
        <w:t>88,12</w:t>
      </w: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 xml:space="preserve"> % na </w:t>
      </w:r>
      <w:r w:rsidR="00CF2E79" w:rsidRPr="00FF3E55">
        <w:rPr>
          <w:rFonts w:ascii="Arial" w:eastAsia="Times New Roman" w:hAnsi="Arial" w:cs="Arial"/>
          <w:b/>
          <w:bCs/>
          <w:color w:val="525252"/>
          <w:lang w:eastAsia="sk-SK"/>
        </w:rPr>
        <w:t>8</w:t>
      </w:r>
      <w:r w:rsidR="00C16696" w:rsidRPr="00FF3E55">
        <w:rPr>
          <w:rFonts w:ascii="Arial" w:eastAsia="Times New Roman" w:hAnsi="Arial" w:cs="Arial"/>
          <w:b/>
          <w:bCs/>
          <w:color w:val="525252"/>
          <w:lang w:eastAsia="sk-SK"/>
        </w:rPr>
        <w:t>7</w:t>
      </w: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 xml:space="preserve"> %,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 čo znamená, že podiel príspevku zo zdrojov operačného programu by mal byť v súčasnosti </w:t>
      </w:r>
      <w:r w:rsidR="00C16696" w:rsidRPr="00FF3E55">
        <w:rPr>
          <w:rFonts w:ascii="Arial" w:eastAsia="Times New Roman" w:hAnsi="Arial" w:cs="Arial"/>
          <w:color w:val="525252"/>
          <w:lang w:eastAsia="sk-SK"/>
        </w:rPr>
        <w:t>o málo nižší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 aký bol v Zmluve o poskytnutí NFP z roku 20</w:t>
      </w:r>
      <w:r w:rsidR="00FF3E55" w:rsidRPr="00FF3E55">
        <w:rPr>
          <w:rFonts w:ascii="Arial" w:eastAsia="Times New Roman" w:hAnsi="Arial" w:cs="Arial"/>
          <w:color w:val="525252"/>
          <w:lang w:eastAsia="sk-SK"/>
        </w:rPr>
        <w:t>07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. </w:t>
      </w:r>
      <w:r w:rsidR="00C16696" w:rsidRPr="00FF3E55">
        <w:rPr>
          <w:rFonts w:ascii="Arial" w:eastAsia="Times New Roman" w:hAnsi="Arial" w:cs="Arial"/>
          <w:color w:val="525252"/>
          <w:lang w:eastAsia="sk-SK"/>
        </w:rPr>
        <w:t xml:space="preserve">Mierny pokles 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percenta finančnej medzery je spôsobený najmä </w:t>
      </w:r>
      <w:r w:rsidR="00C16696" w:rsidRPr="00FF3E55">
        <w:rPr>
          <w:rFonts w:ascii="Arial" w:eastAsia="Times New Roman" w:hAnsi="Arial" w:cs="Arial"/>
          <w:color w:val="525252"/>
          <w:lang w:eastAsia="sk-SK"/>
        </w:rPr>
        <w:t>vyššou zostatkovou hodnotou</w:t>
      </w:r>
      <w:r w:rsidRPr="00FF3E55">
        <w:rPr>
          <w:rFonts w:ascii="Arial" w:eastAsia="Times New Roman" w:hAnsi="Arial" w:cs="Arial"/>
          <w:color w:val="525252"/>
          <w:lang w:eastAsia="sk-SK"/>
        </w:rPr>
        <w:t>.</w:t>
      </w:r>
    </w:p>
    <w:tbl>
      <w:tblPr>
        <w:tblW w:w="96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3074"/>
        <w:gridCol w:w="3389"/>
        <w:gridCol w:w="1007"/>
      </w:tblGrid>
      <w:tr w:rsidR="008D37BC" w:rsidRPr="00FF3E55" w:rsidTr="008D37BC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lastRenderedPageBreak/>
              <w:t>Investičné náklady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C16696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pôvodné</w:t>
            </w:r>
          </w:p>
          <w:p w:rsidR="008D37BC" w:rsidRPr="00FF3E55" w:rsidRDefault="00C16696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36 728 492</w:t>
            </w:r>
            <w:r w:rsidR="008D37BC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EUR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po aktualizácii</w:t>
            </w: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 </w:t>
            </w:r>
          </w:p>
          <w:p w:rsidR="008D37BC" w:rsidRPr="00FF3E55" w:rsidRDefault="00C16696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31 636 489</w:t>
            </w:r>
            <w:r w:rsidR="008D37BC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EUR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C16696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-13,86</w:t>
            </w:r>
            <w:r w:rsidR="008D37BC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%</w:t>
            </w:r>
          </w:p>
        </w:tc>
      </w:tr>
    </w:tbl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 </w:t>
      </w:r>
    </w:p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Uvádzané investičné náklady sú nediskontované a bez DPH.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2819"/>
        <w:gridCol w:w="3207"/>
        <w:gridCol w:w="944"/>
      </w:tblGrid>
      <w:tr w:rsidR="008D37BC" w:rsidRPr="00FF3E55" w:rsidTr="008D3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Zostatková hodnota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spacing w:after="150"/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pôvodná</w:t>
            </w:r>
          </w:p>
          <w:p w:rsidR="008D37BC" w:rsidRPr="00FF3E55" w:rsidRDefault="00C16696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11 021 159</w:t>
            </w:r>
            <w:r w:rsidR="008D37BC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EUR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po aktualizácii</w:t>
            </w: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 </w:t>
            </w:r>
          </w:p>
          <w:p w:rsidR="008D37BC" w:rsidRPr="00FF3E55" w:rsidRDefault="00C16696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11 793 460</w:t>
            </w:r>
            <w:r w:rsidR="00CF2E79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</w:t>
            </w:r>
            <w:r w:rsidR="008D37BC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EUR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CF2E79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+</w:t>
            </w:r>
            <w:r w:rsidR="00C16696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7 </w:t>
            </w:r>
            <w:r w:rsidR="008D37BC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%</w:t>
            </w:r>
          </w:p>
        </w:tc>
      </w:tr>
    </w:tbl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V súlade s platným CBA manuálom bola aktualizovaná zostatková hodnota prepočítaná metódou „cash-</w:t>
      </w:r>
      <w:proofErr w:type="spellStart"/>
      <w:r w:rsidRPr="00FF3E55">
        <w:rPr>
          <w:rFonts w:ascii="Arial" w:eastAsia="Times New Roman" w:hAnsi="Arial" w:cs="Arial"/>
          <w:color w:val="525252"/>
          <w:lang w:eastAsia="sk-SK"/>
        </w:rPr>
        <w:t>flow</w:t>
      </w:r>
      <w:proofErr w:type="spellEnd"/>
      <w:r w:rsidRPr="00FF3E55">
        <w:rPr>
          <w:rFonts w:ascii="Arial" w:eastAsia="Times New Roman" w:hAnsi="Arial" w:cs="Arial"/>
          <w:color w:val="525252"/>
          <w:lang w:eastAsia="sk-SK"/>
        </w:rPr>
        <w:t>“, nakoľko projekt generuje čistý príjem.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882"/>
        <w:gridCol w:w="3211"/>
        <w:gridCol w:w="945"/>
      </w:tblGrid>
      <w:tr w:rsidR="008D37BC" w:rsidRPr="00FF3E55" w:rsidTr="008D37BC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Príjmy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spacing w:after="150"/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pôvodné</w:t>
            </w:r>
          </w:p>
          <w:p w:rsidR="008D37BC" w:rsidRPr="00FF3E55" w:rsidRDefault="003060B6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2 141 000</w:t>
            </w:r>
            <w:r w:rsidR="008D37BC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EUR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po aktualizácii</w:t>
            </w: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 </w:t>
            </w:r>
          </w:p>
          <w:p w:rsidR="008D37BC" w:rsidRPr="00FF3E55" w:rsidRDefault="003060B6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438 950</w:t>
            </w:r>
            <w:r w:rsidR="008D37BC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EUR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95386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-65</w:t>
            </w:r>
            <w:r w:rsidR="008D37BC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%</w:t>
            </w:r>
          </w:p>
        </w:tc>
      </w:tr>
    </w:tbl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 </w:t>
      </w:r>
    </w:p>
    <w:p w:rsidR="008D37BC" w:rsidRPr="00FF3E55" w:rsidRDefault="003060B6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 xml:space="preserve">Jeden z </w:t>
      </w:r>
      <w:r w:rsidR="008D37BC" w:rsidRPr="00FF3E55">
        <w:rPr>
          <w:rFonts w:ascii="Arial" w:eastAsia="Times New Roman" w:hAnsi="Arial" w:cs="Arial"/>
          <w:color w:val="525252"/>
          <w:lang w:eastAsia="sk-SK"/>
        </w:rPr>
        <w:t>dôvod</w:t>
      </w:r>
      <w:r w:rsidRPr="00FF3E55">
        <w:rPr>
          <w:rFonts w:ascii="Arial" w:eastAsia="Times New Roman" w:hAnsi="Arial" w:cs="Arial"/>
          <w:color w:val="525252"/>
          <w:lang w:eastAsia="sk-SK"/>
        </w:rPr>
        <w:t>ov</w:t>
      </w:r>
      <w:r w:rsidR="008D37BC" w:rsidRPr="00FF3E55">
        <w:rPr>
          <w:rFonts w:ascii="Arial" w:eastAsia="Times New Roman" w:hAnsi="Arial" w:cs="Arial"/>
          <w:color w:val="525252"/>
          <w:lang w:eastAsia="sk-SK"/>
        </w:rPr>
        <w:t xml:space="preserve"> poklesu predpokladaných príjmov je metodika výpočtu; v aktualizovanej CBA podľa aktuálnej metodiky vstupujú do kalkulácie aj príjmy z mýta na paralelnej ceste I/</w:t>
      </w:r>
      <w:r w:rsidRPr="00FF3E55">
        <w:rPr>
          <w:rFonts w:ascii="Arial" w:eastAsia="Times New Roman" w:hAnsi="Arial" w:cs="Arial"/>
          <w:color w:val="525252"/>
          <w:lang w:eastAsia="sk-SK"/>
        </w:rPr>
        <w:t>73</w:t>
      </w:r>
      <w:r w:rsidR="008D37BC" w:rsidRPr="00FF3E55">
        <w:rPr>
          <w:rFonts w:ascii="Arial" w:eastAsia="Times New Roman" w:hAnsi="Arial" w:cs="Arial"/>
          <w:color w:val="525252"/>
          <w:lang w:eastAsia="sk-SK"/>
        </w:rPr>
        <w:t xml:space="preserve"> v porovnaní s pôvodnou CBA, kde boli vyčíslené iba príjmy z mýta na novopostavenom úseku </w:t>
      </w:r>
      <w:r w:rsidR="00CF2E79" w:rsidRPr="00FF3E55">
        <w:rPr>
          <w:rFonts w:ascii="Arial" w:eastAsia="Times New Roman" w:hAnsi="Arial" w:cs="Arial"/>
          <w:color w:val="525252"/>
          <w:lang w:eastAsia="sk-SK"/>
        </w:rPr>
        <w:t>R4</w:t>
      </w:r>
      <w:r w:rsidR="008D37BC" w:rsidRPr="00FF3E55">
        <w:rPr>
          <w:rFonts w:ascii="Arial" w:eastAsia="Times New Roman" w:hAnsi="Arial" w:cs="Arial"/>
          <w:color w:val="525252"/>
          <w:lang w:eastAsia="sk-SK"/>
        </w:rPr>
        <w:t>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3100"/>
        <w:gridCol w:w="3180"/>
        <w:gridCol w:w="754"/>
      </w:tblGrid>
      <w:tr w:rsidR="00073400" w:rsidRPr="00FF3E55" w:rsidTr="008D37BC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Výdavky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400" w:rsidRPr="00FF3E55" w:rsidRDefault="00073400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</w:t>
            </w:r>
            <w:r w:rsidR="008D37BC" w:rsidRPr="00FF3E55">
              <w:rPr>
                <w:rFonts w:ascii="Arial" w:eastAsia="Times New Roman" w:hAnsi="Arial" w:cs="Arial"/>
                <w:color w:val="525252"/>
                <w:lang w:eastAsia="sk-SK"/>
              </w:rPr>
              <w:t>ôvodné</w:t>
            </w:r>
          </w:p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 </w:t>
            </w:r>
            <w:r w:rsidR="00962B61" w:rsidRPr="00FF3E55">
              <w:rPr>
                <w:rFonts w:ascii="Arial" w:eastAsia="Times New Roman" w:hAnsi="Arial" w:cs="Arial"/>
                <w:b/>
                <w:color w:val="525252"/>
                <w:lang w:eastAsia="sk-SK"/>
              </w:rPr>
              <w:t>1</w:t>
            </w:r>
            <w:r w:rsidR="004B2B2F" w:rsidRPr="00FF3E55">
              <w:rPr>
                <w:rFonts w:ascii="Arial" w:eastAsia="Times New Roman" w:hAnsi="Arial" w:cs="Arial"/>
                <w:b/>
                <w:color w:val="525252"/>
                <w:lang w:eastAsia="sk-SK"/>
              </w:rPr>
              <w:t> 523 000</w:t>
            </w: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EUR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po aktualizácii</w:t>
            </w: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 </w:t>
            </w:r>
          </w:p>
          <w:p w:rsidR="008D37BC" w:rsidRPr="00FF3E55" w:rsidRDefault="004B2B2F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259 564</w:t>
            </w:r>
            <w:r w:rsidR="008D37BC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EUR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-</w:t>
            </w:r>
            <w:r w:rsidR="004B2B2F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83</w:t>
            </w: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%</w:t>
            </w:r>
          </w:p>
        </w:tc>
      </w:tr>
    </w:tbl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 </w:t>
      </w:r>
    </w:p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 xml:space="preserve">Výrazná zmena sa týka výdavkov na prevádzku a údržbu, </w:t>
      </w:r>
      <w:r w:rsidR="000F0153" w:rsidRPr="00FF3E55">
        <w:rPr>
          <w:rFonts w:ascii="Arial" w:eastAsia="Times New Roman" w:hAnsi="Arial" w:cs="Arial"/>
          <w:color w:val="525252"/>
          <w:lang w:eastAsia="sk-SK"/>
        </w:rPr>
        <w:t xml:space="preserve">nakoľko sa </w:t>
      </w:r>
      <w:r w:rsidRPr="00FF3E55">
        <w:rPr>
          <w:rFonts w:ascii="Arial" w:eastAsia="Times New Roman" w:hAnsi="Arial" w:cs="Arial"/>
          <w:color w:val="525252"/>
          <w:lang w:eastAsia="sk-SK"/>
        </w:rPr>
        <w:t>metodika výpočtu</w:t>
      </w:r>
      <w:r w:rsidR="000F0153" w:rsidRPr="00FF3E55">
        <w:rPr>
          <w:rFonts w:ascii="Arial" w:eastAsia="Times New Roman" w:hAnsi="Arial" w:cs="Arial"/>
          <w:color w:val="525252"/>
          <w:lang w:eastAsia="sk-SK"/>
        </w:rPr>
        <w:t xml:space="preserve"> </w:t>
      </w:r>
      <w:r w:rsidRPr="00FF3E55">
        <w:rPr>
          <w:rFonts w:ascii="Arial" w:eastAsia="Times New Roman" w:hAnsi="Arial" w:cs="Arial"/>
          <w:color w:val="525252"/>
          <w:lang w:eastAsia="sk-SK"/>
        </w:rPr>
        <w:t>v aktuálne platnej verzii Metodickej príručky CBA zmenila, pričom výpočet odhadu budúcich výdavkov je presnejší.</w:t>
      </w:r>
    </w:p>
    <w:p w:rsidR="008D37BC" w:rsidRPr="00FF3E55" w:rsidRDefault="008D37BC" w:rsidP="008D37BC">
      <w:pPr>
        <w:shd w:val="clear" w:color="auto" w:fill="FFFFFF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> </w:t>
      </w:r>
    </w:p>
    <w:p w:rsidR="008D37BC" w:rsidRPr="00FF3E55" w:rsidRDefault="008D37BC" w:rsidP="008D37BC">
      <w:pPr>
        <w:shd w:val="clear" w:color="auto" w:fill="FFFFFF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>Vyhodnotenie ekonomickej analýzy</w:t>
      </w:r>
    </w:p>
    <w:p w:rsidR="008D37BC" w:rsidRPr="00FF3E55" w:rsidRDefault="008D37BC" w:rsidP="008D37BC">
      <w:pPr>
        <w:shd w:val="clear" w:color="auto" w:fill="FFFFFF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Pomer nákladov a </w:t>
      </w:r>
      <w:r w:rsidR="004B2B2F" w:rsidRPr="00FF3E55">
        <w:rPr>
          <w:rFonts w:ascii="Arial" w:eastAsia="Times New Roman" w:hAnsi="Arial" w:cs="Arial"/>
          <w:color w:val="525252"/>
          <w:lang w:eastAsia="sk-SK"/>
        </w:rPr>
        <w:t>prínosov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 (B/C) sa z</w:t>
      </w:r>
      <w:r w:rsidR="00293721" w:rsidRPr="00FF3E55">
        <w:rPr>
          <w:rFonts w:ascii="Arial" w:eastAsia="Times New Roman" w:hAnsi="Arial" w:cs="Arial"/>
          <w:color w:val="525252"/>
          <w:lang w:eastAsia="sk-SK"/>
        </w:rPr>
        <w:t>výšil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 z</w:t>
      </w:r>
      <w:r w:rsidR="00293721" w:rsidRPr="00FF3E55">
        <w:rPr>
          <w:rFonts w:ascii="Arial" w:eastAsia="Times New Roman" w:hAnsi="Arial" w:cs="Arial"/>
          <w:color w:val="525252"/>
          <w:lang w:eastAsia="sk-SK"/>
        </w:rPr>
        <w:t> </w:t>
      </w:r>
      <w:r w:rsidR="00293721" w:rsidRPr="00FF3E55">
        <w:rPr>
          <w:rFonts w:ascii="Arial" w:eastAsia="Times New Roman" w:hAnsi="Arial" w:cs="Arial"/>
          <w:b/>
          <w:bCs/>
          <w:color w:val="525252"/>
          <w:lang w:eastAsia="sk-SK"/>
        </w:rPr>
        <w:t>3,40</w:t>
      </w:r>
      <w:r w:rsidRPr="00FF3E55">
        <w:rPr>
          <w:rFonts w:ascii="Arial" w:eastAsia="Times New Roman" w:hAnsi="Arial" w:cs="Arial"/>
          <w:color w:val="525252"/>
          <w:lang w:eastAsia="sk-SK"/>
        </w:rPr>
        <w:t> na </w:t>
      </w:r>
      <w:r w:rsidR="00293721" w:rsidRPr="00FF3E55">
        <w:rPr>
          <w:rFonts w:ascii="Arial" w:eastAsia="Times New Roman" w:hAnsi="Arial" w:cs="Arial"/>
          <w:b/>
          <w:bCs/>
          <w:color w:val="525252"/>
          <w:lang w:eastAsia="sk-SK"/>
        </w:rPr>
        <w:t>7,78</w:t>
      </w: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>.</w:t>
      </w:r>
      <w:r w:rsidRPr="00FF3E55">
        <w:rPr>
          <w:rFonts w:ascii="Arial" w:eastAsia="Times New Roman" w:hAnsi="Arial" w:cs="Arial"/>
          <w:color w:val="525252"/>
          <w:lang w:eastAsia="sk-SK"/>
        </w:rPr>
        <w:t> Z</w:t>
      </w:r>
      <w:r w:rsidR="00293721" w:rsidRPr="00FF3E55">
        <w:rPr>
          <w:rFonts w:ascii="Arial" w:eastAsia="Times New Roman" w:hAnsi="Arial" w:cs="Arial"/>
          <w:color w:val="525252"/>
          <w:lang w:eastAsia="sk-SK"/>
        </w:rPr>
        <w:t>výšenie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 bolo zapríčinené </w:t>
      </w:r>
      <w:r w:rsidR="00293721" w:rsidRPr="00FF3E55">
        <w:rPr>
          <w:rFonts w:ascii="Arial" w:eastAsia="Times New Roman" w:hAnsi="Arial" w:cs="Arial"/>
          <w:color w:val="525252"/>
          <w:lang w:eastAsia="sk-SK"/>
        </w:rPr>
        <w:t>nárastom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 úspor </w:t>
      </w:r>
      <w:r w:rsidR="00DA60C7" w:rsidRPr="00FF3E55">
        <w:rPr>
          <w:rFonts w:ascii="Arial" w:eastAsia="Times New Roman" w:hAnsi="Arial" w:cs="Arial"/>
          <w:color w:val="525252"/>
          <w:lang w:eastAsia="sk-SK"/>
        </w:rPr>
        <w:t xml:space="preserve">niektorých </w:t>
      </w:r>
      <w:r w:rsidRPr="00FF3E55">
        <w:rPr>
          <w:rFonts w:ascii="Arial" w:eastAsia="Times New Roman" w:hAnsi="Arial" w:cs="Arial"/>
          <w:color w:val="525252"/>
          <w:lang w:eastAsia="sk-SK"/>
        </w:rPr>
        <w:t>ukazovateľov uvádzaných nižšie, ako aj faktom, že ex-post CBA bola prepočítaná aktuálne platnou metodikou, ktor</w:t>
      </w:r>
      <w:r w:rsidR="00293721" w:rsidRPr="00FF3E55">
        <w:rPr>
          <w:rFonts w:ascii="Arial" w:eastAsia="Times New Roman" w:hAnsi="Arial" w:cs="Arial"/>
          <w:color w:val="525252"/>
          <w:lang w:eastAsia="sk-SK"/>
        </w:rPr>
        <w:t>á zahŕňa takisto kalkuláciu úspor z </w:t>
      </w:r>
      <w:proofErr w:type="spellStart"/>
      <w:r w:rsidR="00293721" w:rsidRPr="00FF3E55">
        <w:rPr>
          <w:rFonts w:ascii="Arial" w:eastAsia="Times New Roman" w:hAnsi="Arial" w:cs="Arial"/>
          <w:color w:val="525252"/>
          <w:lang w:eastAsia="sk-SK"/>
        </w:rPr>
        <w:t>externalít</w:t>
      </w:r>
      <w:proofErr w:type="spellEnd"/>
      <w:r w:rsidR="00293721" w:rsidRPr="00FF3E55">
        <w:rPr>
          <w:rFonts w:ascii="Arial" w:eastAsia="Times New Roman" w:hAnsi="Arial" w:cs="Arial"/>
          <w:color w:val="525252"/>
          <w:lang w:eastAsia="sk-SK"/>
        </w:rPr>
        <w:t xml:space="preserve">, </w:t>
      </w:r>
      <w:proofErr w:type="spellStart"/>
      <w:r w:rsidR="00293721" w:rsidRPr="00FF3E55">
        <w:rPr>
          <w:rFonts w:ascii="Arial" w:eastAsia="Times New Roman" w:hAnsi="Arial" w:cs="Arial"/>
          <w:color w:val="525252"/>
          <w:lang w:eastAsia="sk-SK"/>
        </w:rPr>
        <w:t>t.j</w:t>
      </w:r>
      <w:proofErr w:type="spellEnd"/>
      <w:r w:rsidR="00293721" w:rsidRPr="00FF3E55">
        <w:rPr>
          <w:rFonts w:ascii="Arial" w:eastAsia="Times New Roman" w:hAnsi="Arial" w:cs="Arial"/>
          <w:color w:val="525252"/>
          <w:lang w:eastAsia="sk-SK"/>
        </w:rPr>
        <w:t>. emisie, znečistenie životného prostredia a hluk, v rámci ktorých dochádza v predmetnom projekte k výrazným úsporám.</w:t>
      </w:r>
    </w:p>
    <w:p w:rsidR="008D37BC" w:rsidRPr="00FF3E55" w:rsidRDefault="00293721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M</w:t>
      </w:r>
      <w:r w:rsidR="008D37BC" w:rsidRPr="00FF3E55">
        <w:rPr>
          <w:rFonts w:ascii="Arial" w:eastAsia="Times New Roman" w:hAnsi="Arial" w:cs="Arial"/>
          <w:color w:val="525252"/>
          <w:lang w:eastAsia="sk-SK"/>
        </w:rPr>
        <w:t xml:space="preserve">ôžeme 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teda </w:t>
      </w:r>
      <w:r w:rsidR="008D37BC" w:rsidRPr="00FF3E55">
        <w:rPr>
          <w:rFonts w:ascii="Arial" w:eastAsia="Times New Roman" w:hAnsi="Arial" w:cs="Arial"/>
          <w:color w:val="525252"/>
          <w:lang w:eastAsia="sk-SK"/>
        </w:rPr>
        <w:t xml:space="preserve">konštatovať, že projekt je 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jednoznačne </w:t>
      </w:r>
      <w:r w:rsidR="008D37BC" w:rsidRPr="00FF3E55">
        <w:rPr>
          <w:rFonts w:ascii="Arial" w:eastAsia="Times New Roman" w:hAnsi="Arial" w:cs="Arial"/>
          <w:color w:val="525252"/>
          <w:lang w:eastAsia="sk-SK"/>
        </w:rPr>
        <w:t xml:space="preserve">prínosný pre spoločnosť, keďže ukazovateľ B/C 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významne </w:t>
      </w:r>
      <w:r w:rsidR="008D37BC" w:rsidRPr="00FF3E55">
        <w:rPr>
          <w:rFonts w:ascii="Arial" w:eastAsia="Times New Roman" w:hAnsi="Arial" w:cs="Arial"/>
          <w:color w:val="525252"/>
          <w:lang w:eastAsia="sk-SK"/>
        </w:rPr>
        <w:t>prevyšuje hodnotu 1.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657"/>
        <w:gridCol w:w="3119"/>
        <w:gridCol w:w="753"/>
      </w:tblGrid>
      <w:tr w:rsidR="008D37BC" w:rsidRPr="00FF3E55" w:rsidTr="008D37BC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Úspora času cestujúcich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spacing w:after="150"/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pôvodná</w:t>
            </w:r>
          </w:p>
          <w:p w:rsidR="008D37BC" w:rsidRPr="00FF3E55" w:rsidRDefault="00293721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159 494 000</w:t>
            </w:r>
            <w:r w:rsidR="008D37BC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EUR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po aktualizácii</w:t>
            </w: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 </w:t>
            </w:r>
          </w:p>
          <w:p w:rsidR="008D37BC" w:rsidRPr="00FF3E55" w:rsidRDefault="00293721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79 275 427</w:t>
            </w:r>
            <w:r w:rsidR="008D37BC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EUR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-</w:t>
            </w:r>
            <w:r w:rsidR="00293721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50</w:t>
            </w: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%</w:t>
            </w:r>
          </w:p>
        </w:tc>
      </w:tr>
    </w:tbl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 </w:t>
      </w:r>
    </w:p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 xml:space="preserve">Úspora času sa niekoľkonásobne znížila </w:t>
      </w:r>
      <w:r w:rsidR="00DD56BB" w:rsidRPr="00FF3E55">
        <w:rPr>
          <w:rFonts w:ascii="Arial" w:eastAsia="Times New Roman" w:hAnsi="Arial" w:cs="Arial"/>
          <w:color w:val="525252"/>
          <w:lang w:eastAsia="sk-SK"/>
        </w:rPr>
        <w:t>najmä v</w:t>
      </w:r>
      <w:r w:rsidR="00DA60C7" w:rsidRPr="00FF3E55">
        <w:rPr>
          <w:rFonts w:ascii="Arial" w:eastAsia="Times New Roman" w:hAnsi="Arial" w:cs="Arial"/>
          <w:color w:val="525252"/>
          <w:lang w:eastAsia="sk-SK"/>
        </w:rPr>
        <w:t> </w:t>
      </w:r>
      <w:r w:rsidR="00DD56BB" w:rsidRPr="00FF3E55">
        <w:rPr>
          <w:rFonts w:ascii="Arial" w:eastAsia="Times New Roman" w:hAnsi="Arial" w:cs="Arial"/>
          <w:color w:val="525252"/>
          <w:lang w:eastAsia="sk-SK"/>
        </w:rPr>
        <w:t xml:space="preserve">dôsledku aplikácie 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reálnych intenzít, ktoré sú </w:t>
      </w:r>
      <w:r w:rsidR="00A5611A" w:rsidRPr="00FF3E55">
        <w:rPr>
          <w:rFonts w:ascii="Arial" w:eastAsia="Times New Roman" w:hAnsi="Arial" w:cs="Arial"/>
          <w:color w:val="525252"/>
          <w:lang w:eastAsia="sk-SK"/>
        </w:rPr>
        <w:t xml:space="preserve">pri osobných vozidlách </w:t>
      </w:r>
      <w:r w:rsidRPr="00FF3E55">
        <w:rPr>
          <w:rFonts w:ascii="Arial" w:eastAsia="Times New Roman" w:hAnsi="Arial" w:cs="Arial"/>
          <w:color w:val="525252"/>
          <w:lang w:eastAsia="sk-SK"/>
        </w:rPr>
        <w:t>nižšie ako predpokladal</w:t>
      </w:r>
      <w:r w:rsidR="00715ED3" w:rsidRPr="00FF3E55">
        <w:rPr>
          <w:rFonts w:ascii="Arial" w:eastAsia="Times New Roman" w:hAnsi="Arial" w:cs="Arial"/>
          <w:color w:val="525252"/>
          <w:lang w:eastAsia="sk-SK"/>
        </w:rPr>
        <w:t>a pôvodná CBA</w:t>
      </w:r>
      <w:r w:rsidRPr="00FF3E55">
        <w:rPr>
          <w:rFonts w:ascii="Arial" w:eastAsia="Times New Roman" w:hAnsi="Arial" w:cs="Arial"/>
          <w:color w:val="525252"/>
          <w:lang w:eastAsia="sk-SK"/>
        </w:rPr>
        <w:t>.</w:t>
      </w:r>
    </w:p>
    <w:p w:rsidR="00DD56BB" w:rsidRPr="00FF3E55" w:rsidRDefault="00DD56BB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</w:p>
    <w:tbl>
      <w:tblPr>
        <w:tblW w:w="10953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3309"/>
        <w:gridCol w:w="4049"/>
        <w:gridCol w:w="916"/>
      </w:tblGrid>
      <w:tr w:rsidR="008D37BC" w:rsidRPr="00FF3E55" w:rsidTr="00DA60C7"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Úspora zo spotreby PHM</w:t>
            </w:r>
          </w:p>
        </w:tc>
        <w:tc>
          <w:tcPr>
            <w:tcW w:w="3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pôvodná </w:t>
            </w:r>
            <w:r w:rsidR="00A5611A" w:rsidRPr="00FF3E55">
              <w:rPr>
                <w:rFonts w:ascii="Arial" w:eastAsia="Times New Roman" w:hAnsi="Arial" w:cs="Arial"/>
                <w:b/>
                <w:color w:val="525252"/>
                <w:lang w:eastAsia="sk-SK"/>
              </w:rPr>
              <w:t xml:space="preserve">6 036 000 </w:t>
            </w: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EUR</w:t>
            </w:r>
          </w:p>
        </w:tc>
        <w:tc>
          <w:tcPr>
            <w:tcW w:w="4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po aktualizácii  </w:t>
            </w:r>
            <w:r w:rsidR="00A5611A" w:rsidRPr="00FF3E55">
              <w:rPr>
                <w:rFonts w:ascii="Arial" w:eastAsia="Times New Roman" w:hAnsi="Arial" w:cs="Arial"/>
                <w:b/>
                <w:color w:val="525252"/>
                <w:lang w:eastAsia="sk-SK"/>
              </w:rPr>
              <w:t>24 086 970</w:t>
            </w: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EUR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A5611A" w:rsidP="008D37BC">
            <w:pPr>
              <w:jc w:val="center"/>
              <w:rPr>
                <w:rFonts w:ascii="Arial" w:eastAsia="Times New Roman" w:hAnsi="Arial" w:cs="Arial"/>
                <w:b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color w:val="525252"/>
                <w:lang w:eastAsia="sk-SK"/>
              </w:rPr>
              <w:t>+299%</w:t>
            </w:r>
          </w:p>
        </w:tc>
      </w:tr>
      <w:tr w:rsidR="008D37BC" w:rsidRPr="00FF3E55" w:rsidTr="00DA60C7"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Úspora ostatných prevádzkových nákladov</w:t>
            </w:r>
          </w:p>
        </w:tc>
        <w:tc>
          <w:tcPr>
            <w:tcW w:w="3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pôvodná </w:t>
            </w:r>
            <w:r w:rsidR="00A5611A" w:rsidRPr="00FF3E55">
              <w:rPr>
                <w:rFonts w:ascii="Arial" w:eastAsia="Times New Roman" w:hAnsi="Arial" w:cs="Arial"/>
                <w:b/>
                <w:color w:val="525252"/>
                <w:lang w:eastAsia="sk-SK"/>
              </w:rPr>
              <w:t>31 791 000</w:t>
            </w: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EUR</w:t>
            </w:r>
          </w:p>
        </w:tc>
        <w:tc>
          <w:tcPr>
            <w:tcW w:w="4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 xml:space="preserve">po aktualizácii  </w:t>
            </w:r>
            <w:r w:rsidR="00A5611A" w:rsidRPr="00FF3E55">
              <w:rPr>
                <w:rFonts w:ascii="Arial" w:eastAsia="Times New Roman" w:hAnsi="Arial" w:cs="Arial"/>
                <w:b/>
                <w:color w:val="525252"/>
                <w:lang w:eastAsia="sk-SK"/>
              </w:rPr>
              <w:t>29 489 960</w:t>
            </w: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EUR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A5611A" w:rsidP="008D37BC">
            <w:pPr>
              <w:jc w:val="center"/>
              <w:rPr>
                <w:rFonts w:ascii="Arial" w:eastAsia="Times New Roman" w:hAnsi="Arial" w:cs="Arial"/>
                <w:b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color w:val="525252"/>
                <w:lang w:eastAsia="sk-SK"/>
              </w:rPr>
              <w:t>-7%</w:t>
            </w:r>
          </w:p>
        </w:tc>
      </w:tr>
    </w:tbl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 </w:t>
      </w:r>
    </w:p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lastRenderedPageBreak/>
        <w:t>Prevádzkové náklady vozidiel sú zložené zo spotreby pohonných hmôt, kde prichádza k</w:t>
      </w:r>
      <w:r w:rsidR="00DA60C7" w:rsidRPr="00FF3E55">
        <w:rPr>
          <w:rFonts w:ascii="Arial" w:eastAsia="Times New Roman" w:hAnsi="Arial" w:cs="Arial"/>
          <w:color w:val="525252"/>
          <w:lang w:eastAsia="sk-SK"/>
        </w:rPr>
        <w:t> </w:t>
      </w:r>
      <w:r w:rsidRPr="00FF3E55">
        <w:rPr>
          <w:rFonts w:ascii="Arial" w:eastAsia="Times New Roman" w:hAnsi="Arial" w:cs="Arial"/>
          <w:color w:val="525252"/>
          <w:lang w:eastAsia="sk-SK"/>
        </w:rPr>
        <w:t>úspore a</w:t>
      </w:r>
      <w:r w:rsidR="00DA60C7" w:rsidRPr="00FF3E55">
        <w:rPr>
          <w:rFonts w:ascii="Arial" w:eastAsia="Times New Roman" w:hAnsi="Arial" w:cs="Arial"/>
          <w:color w:val="525252"/>
          <w:lang w:eastAsia="sk-SK"/>
        </w:rPr>
        <w:t> </w:t>
      </w:r>
      <w:r w:rsidRPr="00FF3E55">
        <w:rPr>
          <w:rFonts w:ascii="Arial" w:eastAsia="Times New Roman" w:hAnsi="Arial" w:cs="Arial"/>
          <w:color w:val="525252"/>
          <w:lang w:eastAsia="sk-SK"/>
        </w:rPr>
        <w:t>z</w:t>
      </w:r>
      <w:r w:rsidR="00DA60C7" w:rsidRPr="00FF3E55">
        <w:rPr>
          <w:rFonts w:ascii="Arial" w:eastAsia="Times New Roman" w:hAnsi="Arial" w:cs="Arial"/>
          <w:color w:val="525252"/>
          <w:lang w:eastAsia="sk-SK"/>
        </w:rPr>
        <w:t> 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ostatných prevádzkových nákladov vozidiel (ako napr. </w:t>
      </w:r>
      <w:r w:rsidR="00DA60C7" w:rsidRPr="00FF3E55">
        <w:rPr>
          <w:rFonts w:ascii="Arial" w:eastAsia="Times New Roman" w:hAnsi="Arial" w:cs="Arial"/>
          <w:color w:val="525252"/>
          <w:lang w:eastAsia="sk-SK"/>
        </w:rPr>
        <w:t>o</w:t>
      </w:r>
      <w:r w:rsidRPr="00FF3E55">
        <w:rPr>
          <w:rFonts w:ascii="Arial" w:eastAsia="Times New Roman" w:hAnsi="Arial" w:cs="Arial"/>
          <w:color w:val="525252"/>
          <w:lang w:eastAsia="sk-SK"/>
        </w:rPr>
        <w:t>dpisy</w:t>
      </w:r>
      <w:r w:rsidR="00DA60C7" w:rsidRPr="00FF3E55">
        <w:rPr>
          <w:rFonts w:ascii="Arial" w:eastAsia="Times New Roman" w:hAnsi="Arial" w:cs="Arial"/>
          <w:color w:val="525252"/>
          <w:lang w:eastAsia="sk-SK"/>
        </w:rPr>
        <w:t>), kde prichádza takisto k</w:t>
      </w:r>
      <w:r w:rsidR="00A5611A" w:rsidRPr="00FF3E55">
        <w:rPr>
          <w:rFonts w:ascii="Arial" w:eastAsia="Times New Roman" w:hAnsi="Arial" w:cs="Arial"/>
          <w:color w:val="525252"/>
          <w:lang w:eastAsia="sk-SK"/>
        </w:rPr>
        <w:t xml:space="preserve"> významnej </w:t>
      </w:r>
      <w:r w:rsidR="00DA60C7" w:rsidRPr="00FF3E55">
        <w:rPr>
          <w:rFonts w:ascii="Arial" w:eastAsia="Times New Roman" w:hAnsi="Arial" w:cs="Arial"/>
          <w:color w:val="525252"/>
          <w:lang w:eastAsia="sk-SK"/>
        </w:rPr>
        <w:t>úspore</w:t>
      </w:r>
      <w:r w:rsidR="00A5611A" w:rsidRPr="00FF3E55">
        <w:rPr>
          <w:rFonts w:ascii="Arial" w:eastAsia="Times New Roman" w:hAnsi="Arial" w:cs="Arial"/>
          <w:color w:val="525252"/>
          <w:lang w:eastAsia="sk-SK"/>
        </w:rPr>
        <w:t xml:space="preserve">, avšak mierne nižšej ako bolo </w:t>
      </w:r>
      <w:r w:rsidR="00B53FB8" w:rsidRPr="00FF3E55">
        <w:rPr>
          <w:rFonts w:ascii="Arial" w:eastAsia="Times New Roman" w:hAnsi="Arial" w:cs="Arial"/>
          <w:color w:val="525252"/>
          <w:lang w:eastAsia="sk-SK"/>
        </w:rPr>
        <w:t>od</w:t>
      </w:r>
      <w:r w:rsidR="00A5611A" w:rsidRPr="00FF3E55">
        <w:rPr>
          <w:rFonts w:ascii="Arial" w:eastAsia="Times New Roman" w:hAnsi="Arial" w:cs="Arial"/>
          <w:color w:val="525252"/>
          <w:lang w:eastAsia="sk-SK"/>
        </w:rPr>
        <w:t>hadované v pôvodnej CBA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.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2598"/>
        <w:gridCol w:w="3176"/>
        <w:gridCol w:w="753"/>
      </w:tblGrid>
      <w:tr w:rsidR="008D37BC" w:rsidRPr="00FF3E55" w:rsidTr="008D37BC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Úspora z nehodovosti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spacing w:after="150"/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pôvodná</w:t>
            </w:r>
          </w:p>
          <w:p w:rsidR="008D37BC" w:rsidRPr="00FF3E55" w:rsidRDefault="00A5611A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4 904 000</w:t>
            </w:r>
            <w:r w:rsidR="008D37BC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EUR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po aktualizácii</w:t>
            </w: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 </w:t>
            </w:r>
          </w:p>
          <w:p w:rsidR="008D37BC" w:rsidRPr="00FF3E55" w:rsidRDefault="00A5611A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3 356 148</w:t>
            </w:r>
            <w:r w:rsidR="008D37BC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EUR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-</w:t>
            </w:r>
            <w:r w:rsidR="00A5611A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32</w:t>
            </w: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%</w:t>
            </w:r>
          </w:p>
        </w:tc>
      </w:tr>
    </w:tbl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Nehodovosť bola vypočítaná na základe počtu nehôd za roky 20</w:t>
      </w:r>
      <w:r w:rsidR="00DA60C7" w:rsidRPr="00FF3E55">
        <w:rPr>
          <w:rFonts w:ascii="Arial" w:eastAsia="Times New Roman" w:hAnsi="Arial" w:cs="Arial"/>
          <w:color w:val="525252"/>
          <w:lang w:eastAsia="sk-SK"/>
        </w:rPr>
        <w:t>1</w:t>
      </w:r>
      <w:r w:rsidR="00A5611A" w:rsidRPr="00FF3E55">
        <w:rPr>
          <w:rFonts w:ascii="Arial" w:eastAsia="Times New Roman" w:hAnsi="Arial" w:cs="Arial"/>
          <w:color w:val="525252"/>
          <w:lang w:eastAsia="sk-SK"/>
        </w:rPr>
        <w:t>2</w:t>
      </w:r>
      <w:r w:rsidRPr="00FF3E55">
        <w:rPr>
          <w:rFonts w:ascii="Arial" w:eastAsia="Times New Roman" w:hAnsi="Arial" w:cs="Arial"/>
          <w:color w:val="525252"/>
          <w:lang w:eastAsia="sk-SK"/>
        </w:rPr>
        <w:t xml:space="preserve"> – 201</w:t>
      </w:r>
      <w:r w:rsidR="00DA60C7" w:rsidRPr="00FF3E55">
        <w:rPr>
          <w:rFonts w:ascii="Arial" w:eastAsia="Times New Roman" w:hAnsi="Arial" w:cs="Arial"/>
          <w:color w:val="525252"/>
          <w:lang w:eastAsia="sk-SK"/>
        </w:rPr>
        <w:t>8</w:t>
      </w:r>
      <w:r w:rsidR="00A5611A" w:rsidRPr="00FF3E55">
        <w:rPr>
          <w:rFonts w:ascii="Arial" w:eastAsia="Times New Roman" w:hAnsi="Arial" w:cs="Arial"/>
          <w:color w:val="525252"/>
          <w:lang w:eastAsia="sk-SK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602"/>
        <w:gridCol w:w="3181"/>
        <w:gridCol w:w="750"/>
      </w:tblGrid>
      <w:tr w:rsidR="008D37BC" w:rsidRPr="00FF3E55" w:rsidTr="008D37BC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Úspora na emisiách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spacing w:after="150"/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pôvodné</w:t>
            </w:r>
          </w:p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0 EUR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po aktualizácii</w:t>
            </w: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 </w:t>
            </w:r>
          </w:p>
          <w:p w:rsidR="008D37BC" w:rsidRPr="00FF3E55" w:rsidRDefault="004978E1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48 729 750 </w:t>
            </w:r>
            <w:r w:rsidR="008D37BC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EUR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-</w:t>
            </w:r>
          </w:p>
        </w:tc>
      </w:tr>
    </w:tbl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 xml:space="preserve">Úspora na emisiách nebola v pôvodnej CBA vyčíslená. Na základe inkrementálnej spotreby pohonných látok (tieto tvoria základný podklad pre výpočet tvorby emisií) počas celého referenčného obdobia </w:t>
      </w:r>
      <w:r w:rsidR="006D7BD2" w:rsidRPr="00FF3E55">
        <w:rPr>
          <w:rFonts w:ascii="Arial" w:eastAsia="Times New Roman" w:hAnsi="Arial" w:cs="Arial"/>
          <w:color w:val="525252"/>
          <w:lang w:eastAsia="sk-SK"/>
        </w:rPr>
        <w:t>bola vypočítaná úspora</w:t>
      </w:r>
      <w:r w:rsidRPr="00FF3E55">
        <w:rPr>
          <w:rFonts w:ascii="Arial" w:eastAsia="Times New Roman" w:hAnsi="Arial" w:cs="Arial"/>
          <w:color w:val="525252"/>
          <w:lang w:eastAsia="sk-SK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603"/>
        <w:gridCol w:w="3183"/>
        <w:gridCol w:w="751"/>
      </w:tblGrid>
      <w:tr w:rsidR="008D37BC" w:rsidRPr="00FF3E55" w:rsidTr="008D37BC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Úspora na hluku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spacing w:after="150"/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pôvodné</w:t>
            </w:r>
          </w:p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0 EUR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color w:val="525252"/>
                <w:lang w:eastAsia="sk-SK"/>
              </w:rPr>
              <w:t>po aktualizácii</w:t>
            </w: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 </w:t>
            </w:r>
          </w:p>
          <w:p w:rsidR="008D37BC" w:rsidRPr="00FF3E55" w:rsidRDefault="00645708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23 947 513</w:t>
            </w:r>
            <w:r w:rsidR="008D37BC"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 xml:space="preserve"> EUR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7BC" w:rsidRPr="00FF3E55" w:rsidRDefault="008D37BC" w:rsidP="008D37BC">
            <w:pPr>
              <w:jc w:val="center"/>
              <w:rPr>
                <w:rFonts w:ascii="Arial" w:eastAsia="Times New Roman" w:hAnsi="Arial" w:cs="Arial"/>
                <w:color w:val="525252"/>
                <w:lang w:eastAsia="sk-SK"/>
              </w:rPr>
            </w:pPr>
            <w:r w:rsidRPr="00FF3E55">
              <w:rPr>
                <w:rFonts w:ascii="Arial" w:eastAsia="Times New Roman" w:hAnsi="Arial" w:cs="Arial"/>
                <w:b/>
                <w:bCs/>
                <w:color w:val="525252"/>
                <w:lang w:eastAsia="sk-SK"/>
              </w:rPr>
              <w:t>-</w:t>
            </w:r>
          </w:p>
        </w:tc>
      </w:tr>
    </w:tbl>
    <w:p w:rsidR="008D37BC" w:rsidRPr="00FF3E55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Úspora z hluku nebola v pôvodnej CBA vyčíslená. Vo všeobecnosti platí, že výstavbou diaľničných úsekov je obyvateľstvo menej vystavené hluku z osobnej a nákladnej dopravy, čo sa potvrdilo aj pri analyzovanom úseku.</w:t>
      </w:r>
    </w:p>
    <w:p w:rsidR="008D37BC" w:rsidRPr="00FF3E55" w:rsidRDefault="008D37BC" w:rsidP="008D37BC">
      <w:pPr>
        <w:shd w:val="clear" w:color="auto" w:fill="FFFFFF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> </w:t>
      </w:r>
    </w:p>
    <w:p w:rsidR="008D37BC" w:rsidRPr="00FF3E55" w:rsidRDefault="008D37BC" w:rsidP="008D37BC">
      <w:pPr>
        <w:shd w:val="clear" w:color="auto" w:fill="FFFFFF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b/>
          <w:bCs/>
          <w:color w:val="525252"/>
          <w:lang w:eastAsia="sk-SK"/>
        </w:rPr>
        <w:t>Záverečné hodnotenie</w:t>
      </w:r>
    </w:p>
    <w:p w:rsidR="008D37BC" w:rsidRPr="008D37BC" w:rsidRDefault="008D37BC" w:rsidP="008D37BC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25252"/>
          <w:lang w:eastAsia="sk-SK"/>
        </w:rPr>
      </w:pPr>
      <w:r w:rsidRPr="00FF3E55">
        <w:rPr>
          <w:rFonts w:ascii="Arial" w:eastAsia="Times New Roman" w:hAnsi="Arial" w:cs="Arial"/>
          <w:color w:val="525252"/>
          <w:lang w:eastAsia="sk-SK"/>
        </w:rPr>
        <w:t>Spätné vyhodnotenie CBA preukázalo opodstatnenosť financovania projektu z fondov EÚ. Finančná analýza potvrdila predpoklad, že projekt nedokáže v plnom rozsahu pokryť výdavky zo svojich príjmov a preto je opodstatnený nenávratný finančný príspevok z </w:t>
      </w:r>
      <w:r w:rsidR="005B113A" w:rsidRPr="00FF3E55">
        <w:rPr>
          <w:rFonts w:ascii="Arial" w:eastAsia="Times New Roman" w:hAnsi="Arial" w:cs="Arial"/>
          <w:color w:val="525252"/>
          <w:lang w:eastAsia="sk-SK"/>
        </w:rPr>
        <w:t>ERDF</w:t>
      </w:r>
      <w:r w:rsidRPr="00FF3E55">
        <w:rPr>
          <w:rFonts w:ascii="Arial" w:eastAsia="Times New Roman" w:hAnsi="Arial" w:cs="Arial"/>
          <w:color w:val="525252"/>
          <w:lang w:eastAsia="sk-SK"/>
        </w:rPr>
        <w:t>. Ekonomická analýza potvrdila efektívnosť vynakladania verejných zdrojov a odôvodnenosť projektu, nakoľko prínosy projektu pre spoločnosť ako celok prevažujú nad jeho nákladmi.</w:t>
      </w:r>
    </w:p>
    <w:p w:rsidR="00794BFF" w:rsidRDefault="00794BFF"/>
    <w:sectPr w:rsidR="00794BFF" w:rsidSect="000C00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BC"/>
    <w:rsid w:val="00073400"/>
    <w:rsid w:val="000C0068"/>
    <w:rsid w:val="000E04DC"/>
    <w:rsid w:val="000F0153"/>
    <w:rsid w:val="00293721"/>
    <w:rsid w:val="002B00F6"/>
    <w:rsid w:val="003060B6"/>
    <w:rsid w:val="00475D7F"/>
    <w:rsid w:val="004978E1"/>
    <w:rsid w:val="004B2B2F"/>
    <w:rsid w:val="00556B7F"/>
    <w:rsid w:val="005B113A"/>
    <w:rsid w:val="00645708"/>
    <w:rsid w:val="006C59D3"/>
    <w:rsid w:val="006D7BD2"/>
    <w:rsid w:val="00713D63"/>
    <w:rsid w:val="00715ED3"/>
    <w:rsid w:val="00794BFF"/>
    <w:rsid w:val="00895386"/>
    <w:rsid w:val="008D37BC"/>
    <w:rsid w:val="00905DEE"/>
    <w:rsid w:val="00962B61"/>
    <w:rsid w:val="0098666A"/>
    <w:rsid w:val="00A5611A"/>
    <w:rsid w:val="00AD0CF6"/>
    <w:rsid w:val="00B02121"/>
    <w:rsid w:val="00B056D0"/>
    <w:rsid w:val="00B53FB8"/>
    <w:rsid w:val="00B80E2B"/>
    <w:rsid w:val="00C16696"/>
    <w:rsid w:val="00CB466A"/>
    <w:rsid w:val="00CF2E79"/>
    <w:rsid w:val="00DA60C7"/>
    <w:rsid w:val="00DD56BB"/>
    <w:rsid w:val="00F92487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9F242A"/>
  <w15:chartTrackingRefBased/>
  <w15:docId w15:val="{6E68BF06-C577-644B-A7F1-7425B69D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8D37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8D37B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D37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8D37BC"/>
    <w:rPr>
      <w:b/>
      <w:bCs/>
    </w:rPr>
  </w:style>
  <w:style w:type="character" w:styleId="Zvraznenie">
    <w:name w:val="Emphasis"/>
    <w:basedOn w:val="Predvolenpsmoodseku"/>
    <w:uiPriority w:val="20"/>
    <w:qFormat/>
    <w:rsid w:val="008D37BC"/>
    <w:rPr>
      <w:i/>
      <w:iCs/>
    </w:rPr>
  </w:style>
  <w:style w:type="paragraph" w:styleId="Odsekzoznamu">
    <w:name w:val="List Paragraph"/>
    <w:basedOn w:val="Normlny"/>
    <w:uiPriority w:val="34"/>
    <w:qFormat/>
    <w:rsid w:val="00C16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2019-07-15T08:54:00Z</dcterms:created>
  <dcterms:modified xsi:type="dcterms:W3CDTF">2019-07-23T07:17:00Z</dcterms:modified>
</cp:coreProperties>
</file>